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1B4D" w:rsidRPr="006C1B4D" w:rsidRDefault="006C1B4D" w:rsidP="006C1B4D">
      <w:pPr>
        <w:jc w:val="both"/>
        <w:rPr>
          <w:rFonts w:ascii="Arial" w:hAnsi="Arial" w:cs="Arial"/>
          <w:b/>
          <w:sz w:val="24"/>
          <w:szCs w:val="24"/>
        </w:rPr>
      </w:pPr>
      <w:r w:rsidRPr="006C1B4D">
        <w:rPr>
          <w:rFonts w:ascii="Arial" w:hAnsi="Arial" w:cs="Arial"/>
          <w:b/>
          <w:sz w:val="24"/>
          <w:szCs w:val="24"/>
        </w:rPr>
        <w:t>INF</w:t>
      </w:r>
      <w:bookmarkStart w:id="0" w:name="_GoBack"/>
      <w:bookmarkEnd w:id="0"/>
      <w:r w:rsidRPr="006C1B4D">
        <w:rPr>
          <w:rFonts w:ascii="Arial" w:hAnsi="Arial" w:cs="Arial"/>
          <w:b/>
          <w:sz w:val="24"/>
          <w:szCs w:val="24"/>
        </w:rPr>
        <w:t>ORME DE PROYECTOS INTERNOS</w:t>
      </w:r>
    </w:p>
    <w:p w:rsidR="00FD73E8" w:rsidRPr="006C1B4D" w:rsidRDefault="00D51C08" w:rsidP="006C1B4D">
      <w:pPr>
        <w:jc w:val="both"/>
        <w:rPr>
          <w:rFonts w:ascii="Arial" w:hAnsi="Arial" w:cs="Arial"/>
          <w:sz w:val="24"/>
          <w:szCs w:val="24"/>
        </w:rPr>
      </w:pPr>
      <w:r w:rsidRPr="008C31B9">
        <w:rPr>
          <w:rFonts w:ascii="Arial" w:hAnsi="Arial" w:cs="Arial"/>
          <w:b/>
          <w:sz w:val="24"/>
          <w:szCs w:val="24"/>
        </w:rPr>
        <w:t>ACTIVIDAD 1:</w:t>
      </w:r>
      <w:r w:rsidRPr="006C1B4D">
        <w:rPr>
          <w:rFonts w:ascii="Arial" w:hAnsi="Arial" w:cs="Arial"/>
          <w:sz w:val="24"/>
          <w:szCs w:val="24"/>
        </w:rPr>
        <w:t xml:space="preserve"> </w:t>
      </w:r>
      <w:r w:rsidRPr="006C1B4D">
        <w:rPr>
          <w:rFonts w:ascii="Arial" w:hAnsi="Arial" w:cs="Arial"/>
          <w:sz w:val="24"/>
          <w:szCs w:val="24"/>
        </w:rPr>
        <w:t>Coordinar con diferentes áreas y actores involucrados en la ejecución de proyectos, asegurando la correcta integración de información y la colaboración interdisciplinaria</w:t>
      </w:r>
    </w:p>
    <w:p w:rsidR="006C1B4D" w:rsidRPr="006C1B4D" w:rsidRDefault="006C1B4D" w:rsidP="006C1B4D">
      <w:pPr>
        <w:pStyle w:val="NormalWeb"/>
        <w:jc w:val="both"/>
        <w:rPr>
          <w:rFonts w:ascii="Arial" w:hAnsi="Arial" w:cs="Arial"/>
        </w:rPr>
      </w:pPr>
      <w:r w:rsidRPr="006C1B4D">
        <w:rPr>
          <w:rFonts w:ascii="Arial" w:hAnsi="Arial" w:cs="Arial"/>
        </w:rPr>
        <w:t xml:space="preserve">Durante el presente periodo, </w:t>
      </w:r>
      <w:r w:rsidR="008C31B9">
        <w:rPr>
          <w:rFonts w:ascii="Arial" w:hAnsi="Arial" w:cs="Arial"/>
        </w:rPr>
        <w:t>se</w:t>
      </w:r>
      <w:r w:rsidRPr="006C1B4D">
        <w:rPr>
          <w:rFonts w:ascii="Arial" w:hAnsi="Arial" w:cs="Arial"/>
        </w:rPr>
        <w:t xml:space="preserve"> llevó a cabo la</w:t>
      </w:r>
      <w:r w:rsidR="008C31B9">
        <w:rPr>
          <w:rFonts w:ascii="Arial" w:hAnsi="Arial" w:cs="Arial"/>
        </w:rPr>
        <w:t xml:space="preserve"> mesa técnica en</w:t>
      </w:r>
      <w:r w:rsidRPr="006C1B4D">
        <w:rPr>
          <w:rFonts w:ascii="Arial" w:hAnsi="Arial" w:cs="Arial"/>
        </w:rPr>
        <w:t xml:space="preserve"> coordinación con el equipo de proyectos</w:t>
      </w:r>
      <w:r w:rsidR="008C31B9">
        <w:rPr>
          <w:rFonts w:ascii="Arial" w:hAnsi="Arial" w:cs="Arial"/>
        </w:rPr>
        <w:t xml:space="preserve"> y financiera</w:t>
      </w:r>
      <w:r w:rsidRPr="006C1B4D">
        <w:rPr>
          <w:rFonts w:ascii="Arial" w:hAnsi="Arial" w:cs="Arial"/>
        </w:rPr>
        <w:t xml:space="preserve"> de la Secretaría DAFE, con el propósito de consolidar la información necesaria para la proyección de las vigencias futuras correspondientes a los procesos adelantados durante la vigencia 2025</w:t>
      </w:r>
      <w:r w:rsidR="008C31B9">
        <w:rPr>
          <w:rFonts w:ascii="Arial" w:hAnsi="Arial" w:cs="Arial"/>
        </w:rPr>
        <w:t>, e</w:t>
      </w:r>
      <w:r w:rsidRPr="006C1B4D">
        <w:rPr>
          <w:rFonts w:ascii="Arial" w:hAnsi="Arial" w:cs="Arial"/>
        </w:rPr>
        <w:t>sta labor permitió identificar los compromisos financieros derivados de actividades en curso y aquellos que deberán ser asegurados en los próximos periodos para garantizar la continuidad de las iniciativas estratégicas del municipio.</w:t>
      </w:r>
    </w:p>
    <w:p w:rsidR="006C1B4D" w:rsidRPr="006C1B4D" w:rsidRDefault="006C1B4D" w:rsidP="006C1B4D">
      <w:pPr>
        <w:pStyle w:val="NormalWeb"/>
        <w:jc w:val="both"/>
        <w:rPr>
          <w:rFonts w:ascii="Arial" w:hAnsi="Arial" w:cs="Arial"/>
        </w:rPr>
      </w:pPr>
      <w:r w:rsidRPr="006C1B4D">
        <w:rPr>
          <w:rFonts w:ascii="Arial" w:hAnsi="Arial" w:cs="Arial"/>
        </w:rPr>
        <w:t>En el desarrollo de esta actividad, se realizó una revisión detallada de cada uno de los proyectos de inversión municipal, verificando su estado de avance, los requerimientos técnicos y presupuestales pendientes, así como las obligaciones contractuales proyectadas. Este análisis permitió establecer las vigencias futuras requeridas, asegurando que la planificación financiera estuviera alineada con las necesidades reales de ejecución.</w:t>
      </w:r>
    </w:p>
    <w:p w:rsidR="006C1B4D" w:rsidRPr="006C1B4D" w:rsidRDefault="006C1B4D" w:rsidP="006C1B4D">
      <w:pPr>
        <w:pStyle w:val="NormalWeb"/>
        <w:jc w:val="both"/>
        <w:rPr>
          <w:rFonts w:ascii="Arial" w:hAnsi="Arial" w:cs="Arial"/>
        </w:rPr>
      </w:pPr>
      <w:r w:rsidRPr="006C1B4D">
        <w:rPr>
          <w:rFonts w:ascii="Arial" w:hAnsi="Arial" w:cs="Arial"/>
        </w:rPr>
        <w:t>Así mismo, se generaron espacios de trabajo conjunto con el</w:t>
      </w:r>
      <w:r w:rsidR="008C31B9">
        <w:rPr>
          <w:rFonts w:ascii="Arial" w:hAnsi="Arial" w:cs="Arial"/>
        </w:rPr>
        <w:t xml:space="preserve"> equipo de la Secretaría DAFE, </w:t>
      </w:r>
      <w:r w:rsidRPr="006C1B4D">
        <w:rPr>
          <w:rFonts w:ascii="Arial" w:hAnsi="Arial" w:cs="Arial"/>
        </w:rPr>
        <w:t>para validar la coherencia entre las metas previstas, los recursos disponibles y la capacidad operativa de las dependencias responsables. Esta articulación facilitó la construcción de un escenario financiero realista, orientado a fortalecer la gestión pública y a optimizar la inversión municipal.</w:t>
      </w:r>
    </w:p>
    <w:p w:rsidR="006C1B4D" w:rsidRPr="006C1B4D" w:rsidRDefault="006C1B4D" w:rsidP="006C1B4D">
      <w:pPr>
        <w:pStyle w:val="NormalWeb"/>
        <w:jc w:val="both"/>
        <w:rPr>
          <w:rFonts w:ascii="Arial" w:hAnsi="Arial" w:cs="Arial"/>
        </w:rPr>
      </w:pPr>
      <w:r w:rsidRPr="006C1B4D">
        <w:rPr>
          <w:rFonts w:ascii="Arial" w:hAnsi="Arial" w:cs="Arial"/>
        </w:rPr>
        <w:t>Finalmente, la proyección de las vigencias futuras fue documentada y ajustada conforme a los lineamientos establecidos por la administración municipal, garantizando que los proyectos de inversión cuenten con el respaldo financier</w:t>
      </w:r>
      <w:r w:rsidR="008C31B9">
        <w:rPr>
          <w:rFonts w:ascii="Arial" w:hAnsi="Arial" w:cs="Arial"/>
        </w:rPr>
        <w:t>o necesario para su continuidad, esta articulación</w:t>
      </w:r>
      <w:r w:rsidRPr="006C1B4D">
        <w:rPr>
          <w:rFonts w:ascii="Arial" w:hAnsi="Arial" w:cs="Arial"/>
        </w:rPr>
        <w:t xml:space="preserve"> contribuyó significativamente al proceso de programación presupuestal, aportando claridad y precisión a la planeación</w:t>
      </w:r>
      <w:r w:rsidR="008C31B9">
        <w:rPr>
          <w:rFonts w:ascii="Arial" w:hAnsi="Arial" w:cs="Arial"/>
        </w:rPr>
        <w:t xml:space="preserve"> estratégica y </w:t>
      </w:r>
      <w:r w:rsidRPr="006C1B4D">
        <w:rPr>
          <w:rFonts w:ascii="Arial" w:hAnsi="Arial" w:cs="Arial"/>
        </w:rPr>
        <w:t>fiscal de la entidad</w:t>
      </w:r>
      <w:r w:rsidR="008C31B9">
        <w:rPr>
          <w:rFonts w:ascii="Arial" w:hAnsi="Arial" w:cs="Arial"/>
        </w:rPr>
        <w:t xml:space="preserve"> con relación a los proyectos de la vigencia 2026</w:t>
      </w:r>
      <w:r w:rsidRPr="006C1B4D">
        <w:rPr>
          <w:rFonts w:ascii="Arial" w:hAnsi="Arial" w:cs="Arial"/>
        </w:rPr>
        <w:t>.</w:t>
      </w:r>
    </w:p>
    <w:p w:rsidR="00D51C08" w:rsidRPr="006C1B4D" w:rsidRDefault="00D51C08" w:rsidP="006C1B4D">
      <w:pPr>
        <w:jc w:val="both"/>
        <w:rPr>
          <w:rFonts w:ascii="Arial" w:hAnsi="Arial" w:cs="Arial"/>
          <w:sz w:val="24"/>
          <w:szCs w:val="24"/>
        </w:rPr>
      </w:pPr>
    </w:p>
    <w:p w:rsidR="00D51C08" w:rsidRPr="006C1B4D" w:rsidRDefault="00D51C08" w:rsidP="006C1B4D">
      <w:pPr>
        <w:jc w:val="both"/>
        <w:rPr>
          <w:rFonts w:ascii="Arial" w:hAnsi="Arial" w:cs="Arial"/>
          <w:sz w:val="24"/>
          <w:szCs w:val="24"/>
        </w:rPr>
      </w:pPr>
    </w:p>
    <w:p w:rsidR="00D51C08" w:rsidRDefault="00D51C08" w:rsidP="006C1B4D">
      <w:pPr>
        <w:jc w:val="both"/>
        <w:rPr>
          <w:rFonts w:ascii="Arial" w:hAnsi="Arial" w:cs="Arial"/>
          <w:sz w:val="24"/>
          <w:szCs w:val="24"/>
        </w:rPr>
      </w:pPr>
    </w:p>
    <w:p w:rsidR="006C1B4D" w:rsidRDefault="006C1B4D" w:rsidP="006C1B4D">
      <w:pPr>
        <w:jc w:val="both"/>
        <w:rPr>
          <w:rFonts w:ascii="Arial" w:hAnsi="Arial" w:cs="Arial"/>
          <w:sz w:val="24"/>
          <w:szCs w:val="24"/>
        </w:rPr>
      </w:pPr>
    </w:p>
    <w:p w:rsidR="006C1B4D" w:rsidRDefault="006C1B4D" w:rsidP="006C1B4D">
      <w:pPr>
        <w:jc w:val="both"/>
        <w:rPr>
          <w:rFonts w:ascii="Arial" w:hAnsi="Arial" w:cs="Arial"/>
          <w:sz w:val="24"/>
          <w:szCs w:val="24"/>
        </w:rPr>
      </w:pPr>
    </w:p>
    <w:p w:rsidR="006C1B4D" w:rsidRDefault="006C1B4D" w:rsidP="006C1B4D">
      <w:pPr>
        <w:jc w:val="both"/>
        <w:rPr>
          <w:rFonts w:ascii="Arial" w:hAnsi="Arial" w:cs="Arial"/>
          <w:sz w:val="24"/>
          <w:szCs w:val="24"/>
        </w:rPr>
      </w:pPr>
    </w:p>
    <w:p w:rsidR="006C1B4D" w:rsidRDefault="006C1B4D" w:rsidP="006C1B4D">
      <w:pPr>
        <w:jc w:val="both"/>
        <w:rPr>
          <w:rFonts w:ascii="Arial" w:hAnsi="Arial" w:cs="Arial"/>
          <w:sz w:val="24"/>
          <w:szCs w:val="24"/>
        </w:rPr>
      </w:pPr>
    </w:p>
    <w:p w:rsidR="006C1B4D" w:rsidRPr="006C1B4D" w:rsidRDefault="006C1B4D" w:rsidP="006C1B4D">
      <w:pPr>
        <w:jc w:val="both"/>
        <w:rPr>
          <w:rFonts w:ascii="Arial" w:hAnsi="Arial" w:cs="Arial"/>
          <w:b/>
          <w:sz w:val="24"/>
          <w:szCs w:val="24"/>
        </w:rPr>
      </w:pPr>
      <w:r w:rsidRPr="006C1B4D">
        <w:rPr>
          <w:rFonts w:ascii="Arial" w:hAnsi="Arial" w:cs="Arial"/>
          <w:b/>
          <w:sz w:val="24"/>
          <w:szCs w:val="24"/>
        </w:rPr>
        <w:lastRenderedPageBreak/>
        <w:t>EVIDENCIAS FOTOGRAFICAS</w:t>
      </w:r>
    </w:p>
    <w:p w:rsidR="00D51C08" w:rsidRPr="006C1B4D" w:rsidRDefault="00D51C08" w:rsidP="006C1B4D">
      <w:pPr>
        <w:jc w:val="both"/>
        <w:rPr>
          <w:rFonts w:ascii="Arial" w:hAnsi="Arial" w:cs="Arial"/>
          <w:sz w:val="24"/>
          <w:szCs w:val="24"/>
        </w:rPr>
      </w:pPr>
      <w:r w:rsidRPr="006C1B4D">
        <w:rPr>
          <w:rFonts w:ascii="Arial" w:hAnsi="Arial" w:cs="Arial"/>
          <w:sz w:val="24"/>
          <w:szCs w:val="24"/>
        </w:rPr>
        <w:drawing>
          <wp:inline distT="0" distB="0" distL="0" distR="0" wp14:anchorId="16D7AF00" wp14:editId="4FDD7529">
            <wp:extent cx="5612130" cy="29648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1C08" w:rsidRPr="006C1B4D" w:rsidRDefault="00D51C08" w:rsidP="006C1B4D">
      <w:pPr>
        <w:jc w:val="both"/>
        <w:rPr>
          <w:rFonts w:ascii="Arial" w:hAnsi="Arial" w:cs="Arial"/>
          <w:sz w:val="24"/>
          <w:szCs w:val="24"/>
        </w:rPr>
      </w:pPr>
      <w:r w:rsidRPr="006C1B4D">
        <w:rPr>
          <w:rFonts w:ascii="Arial" w:hAnsi="Arial" w:cs="Arial"/>
          <w:sz w:val="24"/>
          <w:szCs w:val="24"/>
        </w:rPr>
        <w:drawing>
          <wp:inline distT="0" distB="0" distL="0" distR="0" wp14:anchorId="1011539A" wp14:editId="014A07CE">
            <wp:extent cx="5612130" cy="2619375"/>
            <wp:effectExtent l="0" t="0" r="762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1C08" w:rsidRPr="006C1B4D" w:rsidRDefault="00D51C08" w:rsidP="006C1B4D">
      <w:pPr>
        <w:jc w:val="both"/>
        <w:rPr>
          <w:rFonts w:ascii="Arial" w:hAnsi="Arial" w:cs="Arial"/>
          <w:sz w:val="24"/>
          <w:szCs w:val="24"/>
        </w:rPr>
      </w:pPr>
      <w:r w:rsidRPr="006C1B4D">
        <w:rPr>
          <w:rFonts w:ascii="Arial" w:hAnsi="Arial" w:cs="Arial"/>
          <w:sz w:val="24"/>
          <w:szCs w:val="24"/>
        </w:rPr>
        <w:lastRenderedPageBreak/>
        <w:drawing>
          <wp:inline distT="0" distB="0" distL="0" distR="0" wp14:anchorId="66F688C3" wp14:editId="1AF12142">
            <wp:extent cx="5612130" cy="2543810"/>
            <wp:effectExtent l="0" t="0" r="7620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4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1C08" w:rsidRPr="006C1B4D" w:rsidRDefault="00D51C08" w:rsidP="006C1B4D">
      <w:pPr>
        <w:jc w:val="both"/>
        <w:rPr>
          <w:rFonts w:ascii="Arial" w:hAnsi="Arial" w:cs="Arial"/>
          <w:sz w:val="24"/>
          <w:szCs w:val="24"/>
        </w:rPr>
      </w:pPr>
    </w:p>
    <w:p w:rsidR="00D51C08" w:rsidRPr="006C1B4D" w:rsidRDefault="00D51C08" w:rsidP="006C1B4D">
      <w:pPr>
        <w:jc w:val="both"/>
        <w:rPr>
          <w:rFonts w:ascii="Arial" w:hAnsi="Arial" w:cs="Arial"/>
          <w:sz w:val="24"/>
          <w:szCs w:val="24"/>
        </w:rPr>
      </w:pPr>
    </w:p>
    <w:p w:rsidR="00D51C08" w:rsidRPr="006C1B4D" w:rsidRDefault="00D51C08" w:rsidP="006C1B4D">
      <w:pPr>
        <w:jc w:val="both"/>
        <w:rPr>
          <w:rFonts w:ascii="Arial" w:hAnsi="Arial" w:cs="Arial"/>
          <w:sz w:val="24"/>
          <w:szCs w:val="24"/>
        </w:rPr>
      </w:pPr>
    </w:p>
    <w:sectPr w:rsidR="00D51C08" w:rsidRPr="006C1B4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1C08"/>
    <w:rsid w:val="006C1B4D"/>
    <w:rsid w:val="008C31B9"/>
    <w:rsid w:val="00C564CE"/>
    <w:rsid w:val="00CF46EF"/>
    <w:rsid w:val="00D51C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CD1472"/>
  <w15:chartTrackingRefBased/>
  <w15:docId w15:val="{CEBB3800-FC0A-4E8A-ABD8-E9CC15113C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rsid w:val="006C1B4D"/>
    <w:pPr>
      <w:suppressAutoHyphens/>
      <w:autoSpaceDN w:val="0"/>
      <w:spacing w:after="200" w:line="276" w:lineRule="auto"/>
      <w:ind w:left="720"/>
      <w:textAlignment w:val="baseline"/>
    </w:pPr>
    <w:rPr>
      <w:rFonts w:ascii="Calibri" w:eastAsia="Calibri" w:hAnsi="Calibri" w:cs="Times New Roman"/>
      <w:lang w:val="es-ES"/>
    </w:rPr>
  </w:style>
  <w:style w:type="paragraph" w:styleId="NormalWeb">
    <w:name w:val="Normal (Web)"/>
    <w:basedOn w:val="Normal"/>
    <w:uiPriority w:val="99"/>
    <w:semiHidden/>
    <w:unhideWhenUsed/>
    <w:rsid w:val="006C1B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1037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240B34-DF68-46B3-8114-D0EFE99FAC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3</Pages>
  <Words>324</Words>
  <Characters>1783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1</cp:revision>
  <cp:lastPrinted>2025-12-11T02:21:00Z</cp:lastPrinted>
  <dcterms:created xsi:type="dcterms:W3CDTF">2025-12-11T00:20:00Z</dcterms:created>
  <dcterms:modified xsi:type="dcterms:W3CDTF">2025-12-11T02:21:00Z</dcterms:modified>
</cp:coreProperties>
</file>